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35" w:rsidRDefault="0047078B">
      <w:pPr>
        <w:jc w:val="center"/>
        <w:rPr>
          <w:rFonts w:ascii="Foral Bold" w:hAnsi="Foral Bold"/>
          <w:b/>
          <w:bCs/>
          <w:color w:val="000000"/>
        </w:rPr>
      </w:pPr>
      <w:r>
        <w:rPr>
          <w:rFonts w:ascii="Foral Bold" w:hAnsi="Foral Bold"/>
          <w:b/>
          <w:bCs/>
          <w:noProof/>
          <w:color w:val="000000"/>
        </w:rPr>
        <w:drawing>
          <wp:inline distT="0" distB="0" distL="0" distR="0">
            <wp:extent cx="1000125" cy="1085850"/>
            <wp:effectExtent l="19050" t="0" r="9525" b="0"/>
            <wp:docPr id="1" name="Picture 1" descr="Nehemiah-Final-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hemiah-Final-CYMK"/>
                    <pic:cNvPicPr>
                      <a:picLocks noChangeAspect="1" noChangeArrowheads="1"/>
                    </pic:cNvPicPr>
                  </pic:nvPicPr>
                  <pic:blipFill>
                    <a:blip r:embed="rId7" cstate="print"/>
                    <a:srcRect/>
                    <a:stretch>
                      <a:fillRect/>
                    </a:stretch>
                  </pic:blipFill>
                  <pic:spPr bwMode="auto">
                    <a:xfrm>
                      <a:off x="0" y="0"/>
                      <a:ext cx="1000125" cy="1085850"/>
                    </a:xfrm>
                    <a:prstGeom prst="rect">
                      <a:avLst/>
                    </a:prstGeom>
                    <a:noFill/>
                    <a:ln w="9525">
                      <a:noFill/>
                      <a:miter lim="800000"/>
                      <a:headEnd/>
                      <a:tailEnd/>
                    </a:ln>
                  </pic:spPr>
                </pic:pic>
              </a:graphicData>
            </a:graphic>
          </wp:inline>
        </w:drawing>
      </w:r>
    </w:p>
    <w:p w:rsidR="00532D9C" w:rsidRDefault="00532D9C" w:rsidP="00CB2339">
      <w:pPr>
        <w:rPr>
          <w:rFonts w:ascii="Foral Bold" w:hAnsi="Foral Bold"/>
          <w:b/>
          <w:bCs/>
          <w:color w:val="000000"/>
        </w:rPr>
      </w:pPr>
    </w:p>
    <w:p w:rsidR="00CB2339" w:rsidRPr="00CB2339" w:rsidRDefault="00CB2339" w:rsidP="00CB2339">
      <w:pPr>
        <w:spacing w:line="286" w:lineRule="atLeast"/>
        <w:rPr>
          <w:rFonts w:ascii="Arial" w:hAnsi="Arial"/>
          <w:b/>
          <w:sz w:val="28"/>
          <w:szCs w:val="20"/>
        </w:rPr>
      </w:pPr>
      <w:r w:rsidRPr="00CB2339">
        <w:rPr>
          <w:rFonts w:ascii="Arial" w:hAnsi="Arial"/>
          <w:b/>
          <w:sz w:val="28"/>
          <w:szCs w:val="20"/>
        </w:rPr>
        <w:t>RECORD</w:t>
      </w:r>
      <w:r>
        <w:rPr>
          <w:rFonts w:ascii="Arial" w:hAnsi="Arial"/>
          <w:b/>
          <w:sz w:val="28"/>
          <w:szCs w:val="20"/>
        </w:rPr>
        <w:t>S</w:t>
      </w:r>
      <w:r w:rsidRPr="00CB2339">
        <w:rPr>
          <w:rFonts w:ascii="Arial" w:hAnsi="Arial"/>
          <w:b/>
          <w:sz w:val="28"/>
          <w:szCs w:val="20"/>
        </w:rPr>
        <w:t xml:space="preserve"> RETENTION</w:t>
      </w:r>
    </w:p>
    <w:p w:rsidR="00CB2339" w:rsidRPr="00CB2339" w:rsidRDefault="00CB2339" w:rsidP="00CB2339">
      <w:pPr>
        <w:spacing w:line="286" w:lineRule="atLeast"/>
        <w:rPr>
          <w:rFonts w:ascii="Arial" w:hAnsi="Arial"/>
          <w:sz w:val="22"/>
          <w:szCs w:val="20"/>
        </w:rPr>
      </w:pPr>
    </w:p>
    <w:p w:rsidR="00CB2339" w:rsidRPr="00CB2339" w:rsidRDefault="00CB2339" w:rsidP="00CB2339">
      <w:pPr>
        <w:keepNext/>
        <w:spacing w:line="286" w:lineRule="atLeast"/>
        <w:outlineLvl w:val="3"/>
        <w:rPr>
          <w:rFonts w:ascii="Arial" w:hAnsi="Arial"/>
          <w:b/>
          <w:bCs/>
          <w:sz w:val="22"/>
          <w:szCs w:val="20"/>
          <w:u w:val="single"/>
        </w:rPr>
      </w:pPr>
      <w:r w:rsidRPr="00CB2339">
        <w:rPr>
          <w:rFonts w:ascii="Arial" w:hAnsi="Arial"/>
          <w:b/>
          <w:bCs/>
          <w:sz w:val="22"/>
          <w:szCs w:val="20"/>
          <w:u w:val="single"/>
        </w:rPr>
        <w:t>Policy</w:t>
      </w:r>
    </w:p>
    <w:p w:rsidR="00CB2339" w:rsidRPr="00CB2339" w:rsidRDefault="00CB2339" w:rsidP="00CB2339">
      <w:pPr>
        <w:spacing w:line="286" w:lineRule="atLeast"/>
        <w:rPr>
          <w:rFonts w:ascii="Arial" w:hAnsi="Arial"/>
          <w:sz w:val="22"/>
          <w:szCs w:val="20"/>
        </w:rPr>
      </w:pPr>
    </w:p>
    <w:p w:rsidR="00CB2339" w:rsidRPr="00CB2339" w:rsidRDefault="00CB2339" w:rsidP="00CB2339">
      <w:pPr>
        <w:spacing w:line="286" w:lineRule="atLeast"/>
        <w:jc w:val="both"/>
        <w:rPr>
          <w:rFonts w:ascii="Arial" w:hAnsi="Arial"/>
          <w:sz w:val="22"/>
          <w:szCs w:val="20"/>
        </w:rPr>
      </w:pPr>
      <w:r w:rsidRPr="00CB2339">
        <w:rPr>
          <w:rFonts w:ascii="Arial" w:hAnsi="Arial"/>
          <w:sz w:val="22"/>
          <w:szCs w:val="20"/>
        </w:rPr>
        <w:t>The Center retains records as required by law and destroys them when appropriate.  The destruction of records must be approved by the Executive Director, and logged into the Organization’s Destroyed Records Log. The formal records retention policy of the Organization is as follows:</w:t>
      </w:r>
    </w:p>
    <w:p w:rsidR="00CB2339" w:rsidRPr="00CB2339" w:rsidRDefault="00CB2339" w:rsidP="00CB2339">
      <w:pPr>
        <w:tabs>
          <w:tab w:val="left" w:pos="6480"/>
        </w:tabs>
        <w:spacing w:line="216" w:lineRule="atLeast"/>
        <w:rPr>
          <w:rFonts w:ascii="Arial" w:hAnsi="Arial"/>
          <w:sz w:val="18"/>
          <w:szCs w:val="20"/>
        </w:rPr>
      </w:pP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Accident reports/claims (settled Cases)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Accounts payable ledgers and schedules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Accounts receivable ledgers and schedules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Audit reports</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Bank reconciliations</w:t>
      </w:r>
      <w:r w:rsidRPr="00CB2339">
        <w:rPr>
          <w:rFonts w:ascii="Arial" w:hAnsi="Arial"/>
          <w:sz w:val="22"/>
          <w:szCs w:val="20"/>
        </w:rPr>
        <w:tab/>
        <w:t>3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Bank Statements</w:t>
      </w:r>
      <w:r w:rsidRPr="00CB2339">
        <w:rPr>
          <w:rFonts w:ascii="Arial" w:hAnsi="Arial"/>
          <w:sz w:val="22"/>
          <w:szCs w:val="20"/>
        </w:rPr>
        <w:tab/>
        <w:t>3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Chart of Accounts</w:t>
      </w:r>
      <w:r w:rsidRPr="00CB2339">
        <w:rPr>
          <w:rFonts w:ascii="Arial" w:hAnsi="Arial"/>
          <w:sz w:val="22"/>
          <w:szCs w:val="20"/>
        </w:rPr>
        <w:tab/>
        <w:t>Permanently</w:t>
      </w:r>
    </w:p>
    <w:p w:rsidR="00CB2339" w:rsidRPr="00CB2339" w:rsidRDefault="00CB2339" w:rsidP="00CB2339">
      <w:pPr>
        <w:tabs>
          <w:tab w:val="left" w:pos="6480"/>
        </w:tabs>
        <w:spacing w:after="36" w:line="216" w:lineRule="atLeast"/>
        <w:rPr>
          <w:rFonts w:ascii="Arial" w:hAnsi="Arial"/>
          <w:sz w:val="22"/>
          <w:szCs w:val="20"/>
        </w:rPr>
      </w:pPr>
      <w:r w:rsidRPr="00CB2339">
        <w:rPr>
          <w:rFonts w:ascii="Arial" w:hAnsi="Arial"/>
          <w:sz w:val="22"/>
          <w:szCs w:val="20"/>
        </w:rPr>
        <w:t>Cancelled Checks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Contracts, mortgages, notes and leases:</w:t>
      </w:r>
    </w:p>
    <w:p w:rsidR="00CB2339" w:rsidRPr="00CB2339" w:rsidRDefault="00CB2339" w:rsidP="00CB2339">
      <w:pPr>
        <w:tabs>
          <w:tab w:val="left" w:pos="6480"/>
        </w:tabs>
        <w:rPr>
          <w:rFonts w:ascii="Arial" w:hAnsi="Arial"/>
          <w:sz w:val="22"/>
          <w:szCs w:val="20"/>
        </w:rPr>
      </w:pPr>
      <w:r w:rsidRPr="00CB2339">
        <w:rPr>
          <w:rFonts w:ascii="Arial" w:hAnsi="Arial"/>
          <w:sz w:val="22"/>
          <w:szCs w:val="20"/>
        </w:rPr>
        <w:t>Expired</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Still in effect</w:t>
      </w:r>
      <w:r w:rsidRPr="00CB2339">
        <w:rPr>
          <w:rFonts w:ascii="Arial" w:hAnsi="Arial"/>
          <w:sz w:val="22"/>
          <w:szCs w:val="20"/>
        </w:rPr>
        <w:tab/>
        <w:t>Permanently</w:t>
      </w:r>
    </w:p>
    <w:p w:rsidR="00CB2339" w:rsidRPr="00CB2339" w:rsidRDefault="00CB2339" w:rsidP="00CB2339">
      <w:pPr>
        <w:tabs>
          <w:tab w:val="left" w:pos="6480"/>
        </w:tabs>
        <w:spacing w:after="36" w:line="216" w:lineRule="atLeast"/>
        <w:rPr>
          <w:rFonts w:ascii="Arial" w:hAnsi="Arial"/>
          <w:sz w:val="22"/>
          <w:szCs w:val="20"/>
        </w:rPr>
      </w:pPr>
      <w:r w:rsidRPr="00CB2339">
        <w:rPr>
          <w:rFonts w:ascii="Arial" w:hAnsi="Arial"/>
          <w:sz w:val="22"/>
          <w:szCs w:val="20"/>
        </w:rPr>
        <w:t>Correspondence:</w:t>
      </w:r>
    </w:p>
    <w:p w:rsidR="00CB2339" w:rsidRPr="00CB2339" w:rsidRDefault="00CB2339" w:rsidP="00CB2339">
      <w:pPr>
        <w:tabs>
          <w:tab w:val="left" w:pos="6480"/>
        </w:tabs>
        <w:rPr>
          <w:rFonts w:ascii="Arial" w:hAnsi="Arial"/>
          <w:sz w:val="22"/>
          <w:szCs w:val="20"/>
        </w:rPr>
      </w:pPr>
      <w:r w:rsidRPr="00CB2339">
        <w:rPr>
          <w:rFonts w:ascii="Arial" w:hAnsi="Arial"/>
          <w:sz w:val="22"/>
          <w:szCs w:val="20"/>
        </w:rPr>
        <w:t>General</w:t>
      </w:r>
      <w:r w:rsidRPr="00CB2339">
        <w:rPr>
          <w:rFonts w:ascii="Arial" w:hAnsi="Arial"/>
          <w:sz w:val="22"/>
          <w:szCs w:val="20"/>
        </w:rPr>
        <w:tab/>
        <w:t>2 Years</w:t>
      </w:r>
    </w:p>
    <w:p w:rsidR="00CB2339" w:rsidRPr="00CB2339" w:rsidRDefault="00CB2339" w:rsidP="00CB2339">
      <w:pPr>
        <w:tabs>
          <w:tab w:val="left" w:pos="6480"/>
        </w:tabs>
        <w:rPr>
          <w:rFonts w:ascii="Arial" w:hAnsi="Arial"/>
          <w:sz w:val="22"/>
          <w:szCs w:val="20"/>
        </w:rPr>
      </w:pPr>
      <w:r w:rsidRPr="00CB2339">
        <w:rPr>
          <w:rFonts w:ascii="Arial" w:hAnsi="Arial"/>
          <w:sz w:val="22"/>
          <w:szCs w:val="20"/>
        </w:rPr>
        <w:t>Legal and important matters only</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Routine with customers and/or vendors</w:t>
      </w:r>
      <w:r w:rsidRPr="00CB2339">
        <w:rPr>
          <w:rFonts w:ascii="Arial" w:hAnsi="Arial"/>
          <w:sz w:val="22"/>
          <w:szCs w:val="20"/>
        </w:rPr>
        <w:tab/>
        <w:t>2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Deeds, mortgages and bills of sales</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Depreciation schedules</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Employment applications</w:t>
      </w:r>
      <w:r w:rsidRPr="00CB2339">
        <w:rPr>
          <w:rFonts w:ascii="Arial" w:hAnsi="Arial"/>
          <w:sz w:val="22"/>
          <w:szCs w:val="20"/>
        </w:rPr>
        <w:tab/>
        <w:t>3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Expense analyses/expense distribution schedule</w:t>
      </w:r>
      <w:r w:rsidRPr="00CB2339">
        <w:rPr>
          <w:rFonts w:ascii="Arial" w:hAnsi="Arial"/>
          <w:sz w:val="22"/>
          <w:szCs w:val="20"/>
        </w:rPr>
        <w:tab/>
        <w:t>7 Years</w:t>
      </w:r>
    </w:p>
    <w:p w:rsidR="00CB2339" w:rsidRPr="00CB2339" w:rsidRDefault="00CB2339" w:rsidP="00CB2339">
      <w:pPr>
        <w:tabs>
          <w:tab w:val="left" w:pos="6480"/>
        </w:tabs>
        <w:spacing w:after="36" w:line="216" w:lineRule="atLeast"/>
        <w:rPr>
          <w:rFonts w:ascii="Arial" w:hAnsi="Arial"/>
          <w:sz w:val="22"/>
          <w:szCs w:val="20"/>
        </w:rPr>
      </w:pPr>
      <w:r w:rsidRPr="00CB2339">
        <w:rPr>
          <w:rFonts w:ascii="Arial" w:hAnsi="Arial"/>
          <w:sz w:val="22"/>
          <w:szCs w:val="20"/>
        </w:rPr>
        <w:t>Financial statements:</w:t>
      </w:r>
    </w:p>
    <w:p w:rsidR="00CB2339" w:rsidRPr="00CB2339" w:rsidRDefault="00CB2339" w:rsidP="00CB2339">
      <w:pPr>
        <w:tabs>
          <w:tab w:val="left" w:pos="6480"/>
        </w:tabs>
        <w:rPr>
          <w:rFonts w:ascii="Arial" w:hAnsi="Arial"/>
          <w:sz w:val="22"/>
          <w:szCs w:val="20"/>
        </w:rPr>
      </w:pPr>
      <w:r w:rsidRPr="00CB2339">
        <w:rPr>
          <w:rFonts w:ascii="Arial" w:hAnsi="Arial"/>
          <w:sz w:val="22"/>
          <w:szCs w:val="20"/>
        </w:rPr>
        <w:t>Year-end</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Other</w:t>
      </w:r>
      <w:r w:rsidRPr="00CB2339">
        <w:rPr>
          <w:rFonts w:ascii="Arial" w:hAnsi="Arial"/>
          <w:sz w:val="22"/>
          <w:szCs w:val="20"/>
        </w:rPr>
        <w:tab/>
        <w:t xml:space="preserve">Optional </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Garnishments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General ledgers/year end trial balance</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Insurance policies (expired)</w:t>
      </w:r>
      <w:r w:rsidRPr="00CB2339">
        <w:rPr>
          <w:rFonts w:ascii="Arial" w:hAnsi="Arial"/>
          <w:sz w:val="22"/>
          <w:szCs w:val="20"/>
        </w:rPr>
        <w:tab/>
        <w:t>3 Years</w:t>
      </w:r>
    </w:p>
    <w:p w:rsidR="00CB2339" w:rsidRPr="00CB2339" w:rsidRDefault="00CB2339" w:rsidP="00CB2339">
      <w:pPr>
        <w:tabs>
          <w:tab w:val="left" w:pos="6480"/>
        </w:tabs>
        <w:spacing w:after="36" w:line="216" w:lineRule="atLeast"/>
        <w:rPr>
          <w:rFonts w:ascii="Arial" w:hAnsi="Arial"/>
          <w:sz w:val="22"/>
          <w:szCs w:val="20"/>
        </w:rPr>
      </w:pPr>
      <w:r w:rsidRPr="00CB2339">
        <w:rPr>
          <w:rFonts w:ascii="Arial" w:hAnsi="Arial"/>
          <w:sz w:val="22"/>
          <w:szCs w:val="20"/>
        </w:rPr>
        <w:t>Insurance records (policies, claims, etc.)</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Internal audit reports</w:t>
      </w:r>
      <w:r w:rsidRPr="00CB2339">
        <w:rPr>
          <w:rFonts w:ascii="Arial" w:hAnsi="Arial"/>
          <w:sz w:val="22"/>
          <w:szCs w:val="20"/>
        </w:rPr>
        <w:tab/>
        <w:t>3 Years +</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Internal reports</w:t>
      </w:r>
      <w:r w:rsidRPr="00CB2339">
        <w:rPr>
          <w:rFonts w:ascii="Arial" w:hAnsi="Arial"/>
          <w:sz w:val="22"/>
          <w:szCs w:val="20"/>
        </w:rPr>
        <w:tab/>
        <w:t>3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Inventories of products, materials and supplies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Invoices (to customers, from vendors)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Journals</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Minute books of directors, bylaws and charters</w:t>
      </w:r>
      <w:r w:rsidRPr="00CB2339">
        <w:rPr>
          <w:rFonts w:ascii="Arial" w:hAnsi="Arial"/>
          <w:sz w:val="22"/>
          <w:szCs w:val="20"/>
        </w:rPr>
        <w:tab/>
        <w:t>Permanently</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lastRenderedPageBreak/>
        <w:t>Notes receivable ledgers and schedules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Payroll records and summaries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Personnel records (terminated)</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Petty cash vouchers</w:t>
      </w:r>
      <w:r w:rsidRPr="00CB2339">
        <w:rPr>
          <w:rFonts w:ascii="Arial" w:hAnsi="Arial"/>
          <w:sz w:val="22"/>
          <w:szCs w:val="20"/>
        </w:rPr>
        <w:tab/>
        <w:t>3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Physical inventory tags</w:t>
      </w:r>
      <w:r w:rsidRPr="00CB2339">
        <w:rPr>
          <w:rFonts w:ascii="Arial" w:hAnsi="Arial"/>
          <w:sz w:val="22"/>
          <w:szCs w:val="20"/>
        </w:rPr>
        <w:tab/>
        <w:t>3 Years</w:t>
      </w:r>
    </w:p>
    <w:p w:rsidR="00CB2339" w:rsidRPr="00CB2339" w:rsidRDefault="00CB2339" w:rsidP="00CB2339">
      <w:pPr>
        <w:tabs>
          <w:tab w:val="left" w:pos="6480"/>
        </w:tabs>
        <w:spacing w:after="36" w:line="216" w:lineRule="atLeast"/>
        <w:rPr>
          <w:rFonts w:ascii="Arial" w:hAnsi="Arial"/>
          <w:sz w:val="22"/>
          <w:szCs w:val="20"/>
        </w:rPr>
      </w:pPr>
      <w:r w:rsidRPr="00CB2339">
        <w:rPr>
          <w:rFonts w:ascii="Arial" w:hAnsi="Arial"/>
          <w:sz w:val="22"/>
          <w:szCs w:val="20"/>
        </w:rPr>
        <w:t>Property records (incl. depreciation schedules)</w:t>
      </w:r>
      <w:r w:rsidRPr="00CB2339">
        <w:rPr>
          <w:rFonts w:ascii="Arial" w:hAnsi="Arial"/>
          <w:sz w:val="22"/>
          <w:szCs w:val="20"/>
        </w:rPr>
        <w:tab/>
        <w:t>Permanently</w:t>
      </w:r>
    </w:p>
    <w:p w:rsidR="00CB2339" w:rsidRPr="00CB2339" w:rsidRDefault="00CB2339" w:rsidP="00CB2339">
      <w:pPr>
        <w:tabs>
          <w:tab w:val="left" w:pos="6480"/>
        </w:tabs>
        <w:spacing w:after="36" w:line="216" w:lineRule="atLeast"/>
        <w:rPr>
          <w:rFonts w:ascii="Arial" w:hAnsi="Arial"/>
          <w:sz w:val="22"/>
          <w:szCs w:val="20"/>
        </w:rPr>
      </w:pPr>
      <w:r w:rsidRPr="00CB2339">
        <w:rPr>
          <w:rFonts w:ascii="Arial" w:hAnsi="Arial"/>
          <w:sz w:val="22"/>
          <w:szCs w:val="20"/>
        </w:rPr>
        <w:t>Purchase orders:</w:t>
      </w:r>
    </w:p>
    <w:p w:rsidR="00CB2339" w:rsidRPr="00CB2339" w:rsidRDefault="00CB2339" w:rsidP="00CB2339">
      <w:pPr>
        <w:tabs>
          <w:tab w:val="left" w:pos="6480"/>
        </w:tabs>
        <w:rPr>
          <w:rFonts w:ascii="Arial" w:hAnsi="Arial"/>
          <w:sz w:val="22"/>
          <w:szCs w:val="20"/>
        </w:rPr>
      </w:pPr>
      <w:r w:rsidRPr="00CB2339">
        <w:rPr>
          <w:rFonts w:ascii="Arial" w:hAnsi="Arial"/>
          <w:sz w:val="22"/>
          <w:szCs w:val="20"/>
        </w:rPr>
        <w:t>Purchasing department copy</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Other copies</w:t>
      </w:r>
      <w:r w:rsidRPr="00CB2339">
        <w:rPr>
          <w:rFonts w:ascii="Arial" w:hAnsi="Arial"/>
          <w:sz w:val="22"/>
          <w:szCs w:val="20"/>
        </w:rPr>
        <w:tab/>
        <w:t>1 Year</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Requisitions</w:t>
      </w:r>
      <w:r w:rsidRPr="00CB2339">
        <w:rPr>
          <w:rFonts w:ascii="Arial" w:hAnsi="Arial"/>
          <w:sz w:val="22"/>
          <w:szCs w:val="20"/>
        </w:rPr>
        <w:tab/>
        <w:t>1 Year</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Sales records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Subsidiary ledgers</w:t>
      </w:r>
      <w:r w:rsidRPr="00CB2339">
        <w:rPr>
          <w:rFonts w:ascii="Arial" w:hAnsi="Arial"/>
          <w:sz w:val="22"/>
          <w:szCs w:val="20"/>
        </w:rPr>
        <w:tab/>
        <w:t>7 Years</w:t>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Time sheets</w:t>
      </w:r>
      <w:r w:rsidRPr="00CB2339">
        <w:rPr>
          <w:rFonts w:ascii="Arial" w:hAnsi="Arial"/>
          <w:sz w:val="22"/>
          <w:szCs w:val="20"/>
        </w:rPr>
        <w:tab/>
        <w:t>7 Years</w:t>
      </w:r>
      <w:r w:rsidRPr="00CB2339">
        <w:rPr>
          <w:rFonts w:ascii="Arial" w:hAnsi="Arial"/>
          <w:sz w:val="22"/>
          <w:szCs w:val="20"/>
        </w:rPr>
        <w:tab/>
      </w:r>
    </w:p>
    <w:p w:rsidR="00CB2339" w:rsidRPr="00CB2339" w:rsidRDefault="00CB2339" w:rsidP="00CB2339">
      <w:pPr>
        <w:tabs>
          <w:tab w:val="left" w:pos="6480"/>
        </w:tabs>
        <w:spacing w:line="216" w:lineRule="atLeast"/>
        <w:rPr>
          <w:rFonts w:ascii="Arial" w:hAnsi="Arial"/>
          <w:sz w:val="22"/>
          <w:szCs w:val="20"/>
        </w:rPr>
      </w:pPr>
      <w:r w:rsidRPr="00CB2339">
        <w:rPr>
          <w:rFonts w:ascii="Arial" w:hAnsi="Arial"/>
          <w:sz w:val="22"/>
          <w:szCs w:val="20"/>
        </w:rPr>
        <w:t>Training manuals</w:t>
      </w:r>
      <w:r w:rsidRPr="00CB2339">
        <w:rPr>
          <w:rFonts w:ascii="Arial" w:hAnsi="Arial"/>
          <w:sz w:val="22"/>
          <w:szCs w:val="20"/>
        </w:rPr>
        <w:tab/>
        <w:t>Permanently</w:t>
      </w:r>
    </w:p>
    <w:p w:rsidR="00CB2339" w:rsidRPr="00CB2339" w:rsidRDefault="00CB2339" w:rsidP="00CB2339">
      <w:pPr>
        <w:spacing w:line="286" w:lineRule="atLeast"/>
        <w:rPr>
          <w:rFonts w:ascii="Arial" w:hAnsi="Arial"/>
          <w:sz w:val="22"/>
          <w:szCs w:val="20"/>
        </w:rPr>
      </w:pPr>
    </w:p>
    <w:p w:rsidR="00CB2339" w:rsidRDefault="00CB2339" w:rsidP="00CB2339">
      <w:pPr>
        <w:rPr>
          <w:rFonts w:ascii="Foral Bold" w:hAnsi="Foral Bold"/>
          <w:b/>
          <w:bCs/>
          <w:color w:val="000000"/>
        </w:rPr>
      </w:pPr>
    </w:p>
    <w:sectPr w:rsidR="00CB2339" w:rsidSect="006D1DD6">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BF" w:rsidRDefault="00BE24BF">
      <w:r>
        <w:separator/>
      </w:r>
    </w:p>
  </w:endnote>
  <w:endnote w:type="continuationSeparator" w:id="0">
    <w:p w:rsidR="00BE24BF" w:rsidRDefault="00BE24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Foral 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DD" w:rsidRDefault="00B61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9DD" w:rsidRDefault="00B619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DD" w:rsidRDefault="00D8133F">
    <w:pPr>
      <w:pStyle w:val="Footer"/>
      <w:ind w:right="360"/>
    </w:pPr>
    <w:r>
      <w:rPr>
        <w:noProof/>
      </w:rPr>
      <w:pict>
        <v:rect id="Rectangle 11" o:spid="_x0000_s2049" style="position:absolute;margin-left:537pt;margin-top:10in;width:60pt;height: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p w:rsidR="00D8133F" w:rsidRPr="00D8133F" w:rsidRDefault="00D8133F">
                <w:pPr>
                  <w:jc w:val="center"/>
                  <w:rPr>
                    <w:rFonts w:ascii="Cambria" w:hAnsi="Cambria"/>
                    <w:sz w:val="48"/>
                    <w:szCs w:val="44"/>
                  </w:rPr>
                </w:pPr>
                <w:r w:rsidRPr="00D8133F">
                  <w:rPr>
                    <w:rFonts w:ascii="Calibri" w:hAnsi="Calibri"/>
                    <w:sz w:val="22"/>
                    <w:szCs w:val="22"/>
                  </w:rPr>
                  <w:fldChar w:fldCharType="begin"/>
                </w:r>
                <w:r>
                  <w:instrText xml:space="preserve"> PAGE   \* MERGEFORMAT </w:instrText>
                </w:r>
                <w:r w:rsidRPr="00D8133F">
                  <w:rPr>
                    <w:rFonts w:ascii="Calibri" w:hAnsi="Calibri"/>
                    <w:sz w:val="22"/>
                    <w:szCs w:val="22"/>
                  </w:rPr>
                  <w:fldChar w:fldCharType="separate"/>
                </w:r>
                <w:r w:rsidR="0047078B" w:rsidRPr="0047078B">
                  <w:rPr>
                    <w:rFonts w:ascii="Cambria" w:hAnsi="Cambria"/>
                    <w:noProof/>
                    <w:sz w:val="48"/>
                    <w:szCs w:val="44"/>
                  </w:rPr>
                  <w:t>1</w:t>
                </w:r>
                <w:r w:rsidRPr="00D8133F">
                  <w:rPr>
                    <w:rFonts w:ascii="Cambria" w:hAnsi="Cambria"/>
                    <w:noProof/>
                    <w:sz w:val="48"/>
                    <w:szCs w:val="44"/>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BF" w:rsidRDefault="00BE24BF">
      <w:r>
        <w:separator/>
      </w:r>
    </w:p>
  </w:footnote>
  <w:footnote w:type="continuationSeparator" w:id="0">
    <w:p w:rsidR="00BE24BF" w:rsidRDefault="00BE2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924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D1A21"/>
    <w:multiLevelType w:val="hybridMultilevel"/>
    <w:tmpl w:val="BDFE38B8"/>
    <w:lvl w:ilvl="0" w:tplc="700E6BB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70C43"/>
    <w:multiLevelType w:val="hybridMultilevel"/>
    <w:tmpl w:val="8BF6D09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D711DB"/>
    <w:multiLevelType w:val="hybridMultilevel"/>
    <w:tmpl w:val="441AF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D1DD6"/>
    <w:multiLevelType w:val="hybridMultilevel"/>
    <w:tmpl w:val="7CF09B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0B0166"/>
    <w:multiLevelType w:val="hybridMultilevel"/>
    <w:tmpl w:val="B9A0A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BE13F6"/>
    <w:multiLevelType w:val="hybridMultilevel"/>
    <w:tmpl w:val="AC2EF49E"/>
    <w:lvl w:ilvl="0" w:tplc="8CBA47A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3F00BB"/>
    <w:multiLevelType w:val="hybridMultilevel"/>
    <w:tmpl w:val="2D16FD92"/>
    <w:lvl w:ilvl="0" w:tplc="C4AA2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22EAC"/>
    <w:multiLevelType w:val="hybridMultilevel"/>
    <w:tmpl w:val="8A2A13FE"/>
    <w:lvl w:ilvl="0" w:tplc="13DC203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796FAE"/>
    <w:multiLevelType w:val="hybridMultilevel"/>
    <w:tmpl w:val="6C9AB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990E2B"/>
    <w:multiLevelType w:val="hybridMultilevel"/>
    <w:tmpl w:val="8A80B8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F732C9"/>
    <w:multiLevelType w:val="hybridMultilevel"/>
    <w:tmpl w:val="EE5ABB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D734BC"/>
    <w:multiLevelType w:val="hybridMultilevel"/>
    <w:tmpl w:val="7E7AA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E173C"/>
    <w:multiLevelType w:val="hybridMultilevel"/>
    <w:tmpl w:val="24485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AB3DE6"/>
    <w:multiLevelType w:val="hybridMultilevel"/>
    <w:tmpl w:val="BE8EC80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92C0540">
      <w:start w:val="6"/>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064E6"/>
    <w:multiLevelType w:val="hybridMultilevel"/>
    <w:tmpl w:val="3A5E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
  </w:num>
  <w:num w:numId="4">
    <w:abstractNumId w:val="5"/>
  </w:num>
  <w:num w:numId="5">
    <w:abstractNumId w:val="9"/>
  </w:num>
  <w:num w:numId="6">
    <w:abstractNumId w:val="15"/>
  </w:num>
  <w:num w:numId="7">
    <w:abstractNumId w:val="12"/>
  </w:num>
  <w:num w:numId="8">
    <w:abstractNumId w:val="8"/>
  </w:num>
  <w:num w:numId="9">
    <w:abstractNumId w:val="7"/>
  </w:num>
  <w:num w:numId="10">
    <w:abstractNumId w:val="13"/>
  </w:num>
  <w:num w:numId="11">
    <w:abstractNumId w:val="10"/>
  </w:num>
  <w:num w:numId="12">
    <w:abstractNumId w:val="3"/>
  </w:num>
  <w:num w:numId="13">
    <w:abstractNumId w:val="14"/>
  </w:num>
  <w:num w:numId="14">
    <w:abstractNumId w:val="6"/>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85122"/>
    <w:rsid w:val="0000014B"/>
    <w:rsid w:val="000274AB"/>
    <w:rsid w:val="000279A2"/>
    <w:rsid w:val="00052FB0"/>
    <w:rsid w:val="00064ED4"/>
    <w:rsid w:val="0009282D"/>
    <w:rsid w:val="000A1489"/>
    <w:rsid w:val="000A32FD"/>
    <w:rsid w:val="000B1FFF"/>
    <w:rsid w:val="000B4BFD"/>
    <w:rsid w:val="000B51AE"/>
    <w:rsid w:val="000D33AC"/>
    <w:rsid w:val="000E138B"/>
    <w:rsid w:val="000E63D9"/>
    <w:rsid w:val="00134B5F"/>
    <w:rsid w:val="00156DC5"/>
    <w:rsid w:val="00174BA5"/>
    <w:rsid w:val="001A2B6D"/>
    <w:rsid w:val="001A78CB"/>
    <w:rsid w:val="001B2D52"/>
    <w:rsid w:val="001C02E8"/>
    <w:rsid w:val="001E2106"/>
    <w:rsid w:val="001F2EC5"/>
    <w:rsid w:val="00204608"/>
    <w:rsid w:val="002204B4"/>
    <w:rsid w:val="0023009B"/>
    <w:rsid w:val="00234151"/>
    <w:rsid w:val="0024406F"/>
    <w:rsid w:val="002520FD"/>
    <w:rsid w:val="00263C17"/>
    <w:rsid w:val="00267F85"/>
    <w:rsid w:val="002748E0"/>
    <w:rsid w:val="00275A2C"/>
    <w:rsid w:val="002B57A9"/>
    <w:rsid w:val="002B78E3"/>
    <w:rsid w:val="002D6F72"/>
    <w:rsid w:val="002E706C"/>
    <w:rsid w:val="002F6315"/>
    <w:rsid w:val="003045E5"/>
    <w:rsid w:val="003259F5"/>
    <w:rsid w:val="0034165D"/>
    <w:rsid w:val="0036010B"/>
    <w:rsid w:val="00360BAA"/>
    <w:rsid w:val="00361B7F"/>
    <w:rsid w:val="0039498C"/>
    <w:rsid w:val="003A1930"/>
    <w:rsid w:val="003A1A75"/>
    <w:rsid w:val="003A6351"/>
    <w:rsid w:val="003B36D7"/>
    <w:rsid w:val="003B4AF4"/>
    <w:rsid w:val="003C4A77"/>
    <w:rsid w:val="003E3CB0"/>
    <w:rsid w:val="003F212E"/>
    <w:rsid w:val="0040405C"/>
    <w:rsid w:val="00406A2B"/>
    <w:rsid w:val="00424C11"/>
    <w:rsid w:val="00463650"/>
    <w:rsid w:val="0047078B"/>
    <w:rsid w:val="004918B2"/>
    <w:rsid w:val="004A3A7D"/>
    <w:rsid w:val="004A54EF"/>
    <w:rsid w:val="004C0449"/>
    <w:rsid w:val="004E69F0"/>
    <w:rsid w:val="00525925"/>
    <w:rsid w:val="00532D9C"/>
    <w:rsid w:val="00540DC2"/>
    <w:rsid w:val="00556CD7"/>
    <w:rsid w:val="00583F0A"/>
    <w:rsid w:val="00595A54"/>
    <w:rsid w:val="005B5618"/>
    <w:rsid w:val="005D22AF"/>
    <w:rsid w:val="005E1850"/>
    <w:rsid w:val="005F0F93"/>
    <w:rsid w:val="0061240F"/>
    <w:rsid w:val="0062270D"/>
    <w:rsid w:val="00622DB1"/>
    <w:rsid w:val="00643B79"/>
    <w:rsid w:val="00650FFC"/>
    <w:rsid w:val="0065624E"/>
    <w:rsid w:val="00660289"/>
    <w:rsid w:val="00684B80"/>
    <w:rsid w:val="006977AA"/>
    <w:rsid w:val="006A4E85"/>
    <w:rsid w:val="006B2E7F"/>
    <w:rsid w:val="006B3356"/>
    <w:rsid w:val="006B35C2"/>
    <w:rsid w:val="006C12D1"/>
    <w:rsid w:val="006C3016"/>
    <w:rsid w:val="006C304C"/>
    <w:rsid w:val="006D01A9"/>
    <w:rsid w:val="006D1DD6"/>
    <w:rsid w:val="007206DD"/>
    <w:rsid w:val="007314F7"/>
    <w:rsid w:val="00741D61"/>
    <w:rsid w:val="007476B3"/>
    <w:rsid w:val="0074774C"/>
    <w:rsid w:val="00771FC2"/>
    <w:rsid w:val="00784586"/>
    <w:rsid w:val="00796CAD"/>
    <w:rsid w:val="007A014E"/>
    <w:rsid w:val="007A187F"/>
    <w:rsid w:val="007B455F"/>
    <w:rsid w:val="007C0D41"/>
    <w:rsid w:val="007E4E00"/>
    <w:rsid w:val="007F114E"/>
    <w:rsid w:val="007F43FE"/>
    <w:rsid w:val="00805804"/>
    <w:rsid w:val="0080621E"/>
    <w:rsid w:val="0080775C"/>
    <w:rsid w:val="008129E2"/>
    <w:rsid w:val="00820AB5"/>
    <w:rsid w:val="00824C2C"/>
    <w:rsid w:val="008263C6"/>
    <w:rsid w:val="00827D53"/>
    <w:rsid w:val="008450C4"/>
    <w:rsid w:val="00845151"/>
    <w:rsid w:val="00867943"/>
    <w:rsid w:val="00884190"/>
    <w:rsid w:val="00885122"/>
    <w:rsid w:val="008B2267"/>
    <w:rsid w:val="008C1075"/>
    <w:rsid w:val="008D5F57"/>
    <w:rsid w:val="008E4BA6"/>
    <w:rsid w:val="0091584F"/>
    <w:rsid w:val="009250EF"/>
    <w:rsid w:val="00930624"/>
    <w:rsid w:val="0094400A"/>
    <w:rsid w:val="00944A55"/>
    <w:rsid w:val="00956BA5"/>
    <w:rsid w:val="009645C8"/>
    <w:rsid w:val="009767B2"/>
    <w:rsid w:val="0098561A"/>
    <w:rsid w:val="009A2C0D"/>
    <w:rsid w:val="009A5436"/>
    <w:rsid w:val="009C5CC9"/>
    <w:rsid w:val="009D462E"/>
    <w:rsid w:val="009F4559"/>
    <w:rsid w:val="009F524E"/>
    <w:rsid w:val="009F5FB0"/>
    <w:rsid w:val="00A016DB"/>
    <w:rsid w:val="00A17CB6"/>
    <w:rsid w:val="00A2468E"/>
    <w:rsid w:val="00A26A9B"/>
    <w:rsid w:val="00A32CD9"/>
    <w:rsid w:val="00A47805"/>
    <w:rsid w:val="00A56D3F"/>
    <w:rsid w:val="00A57AC1"/>
    <w:rsid w:val="00A9093F"/>
    <w:rsid w:val="00A97937"/>
    <w:rsid w:val="00AA127E"/>
    <w:rsid w:val="00AA3FCB"/>
    <w:rsid w:val="00AA49EA"/>
    <w:rsid w:val="00AB101D"/>
    <w:rsid w:val="00AD0B04"/>
    <w:rsid w:val="00AF0154"/>
    <w:rsid w:val="00B16FDE"/>
    <w:rsid w:val="00B30AD4"/>
    <w:rsid w:val="00B619DD"/>
    <w:rsid w:val="00B64AD5"/>
    <w:rsid w:val="00B67098"/>
    <w:rsid w:val="00B81FBE"/>
    <w:rsid w:val="00B92119"/>
    <w:rsid w:val="00BA48C6"/>
    <w:rsid w:val="00BC090D"/>
    <w:rsid w:val="00BC22E6"/>
    <w:rsid w:val="00BD4B1B"/>
    <w:rsid w:val="00BE24BF"/>
    <w:rsid w:val="00BE2D23"/>
    <w:rsid w:val="00BE4D6B"/>
    <w:rsid w:val="00BE7182"/>
    <w:rsid w:val="00C026E0"/>
    <w:rsid w:val="00C247D7"/>
    <w:rsid w:val="00C25F4D"/>
    <w:rsid w:val="00C40BF3"/>
    <w:rsid w:val="00C637E0"/>
    <w:rsid w:val="00C703E6"/>
    <w:rsid w:val="00C7138E"/>
    <w:rsid w:val="00CA7E25"/>
    <w:rsid w:val="00CB2339"/>
    <w:rsid w:val="00CC6096"/>
    <w:rsid w:val="00CD5B2A"/>
    <w:rsid w:val="00CE64B2"/>
    <w:rsid w:val="00CF0181"/>
    <w:rsid w:val="00D00ECE"/>
    <w:rsid w:val="00D03D07"/>
    <w:rsid w:val="00D13F44"/>
    <w:rsid w:val="00D16ECA"/>
    <w:rsid w:val="00D202CA"/>
    <w:rsid w:val="00D21974"/>
    <w:rsid w:val="00D2564D"/>
    <w:rsid w:val="00D302A9"/>
    <w:rsid w:val="00D37A34"/>
    <w:rsid w:val="00D463DE"/>
    <w:rsid w:val="00D63B6C"/>
    <w:rsid w:val="00D662DA"/>
    <w:rsid w:val="00D8133F"/>
    <w:rsid w:val="00D90EF5"/>
    <w:rsid w:val="00DA5F73"/>
    <w:rsid w:val="00DB009F"/>
    <w:rsid w:val="00DB4BCE"/>
    <w:rsid w:val="00DB6027"/>
    <w:rsid w:val="00DC2605"/>
    <w:rsid w:val="00DC5633"/>
    <w:rsid w:val="00DD2B21"/>
    <w:rsid w:val="00DE6C35"/>
    <w:rsid w:val="00DF69F5"/>
    <w:rsid w:val="00E05043"/>
    <w:rsid w:val="00E17484"/>
    <w:rsid w:val="00E239EC"/>
    <w:rsid w:val="00E4132C"/>
    <w:rsid w:val="00E537AE"/>
    <w:rsid w:val="00E80718"/>
    <w:rsid w:val="00E87C81"/>
    <w:rsid w:val="00E9579D"/>
    <w:rsid w:val="00EA155D"/>
    <w:rsid w:val="00ED4F5F"/>
    <w:rsid w:val="00EF16E4"/>
    <w:rsid w:val="00EF77B8"/>
    <w:rsid w:val="00F04532"/>
    <w:rsid w:val="00F2457B"/>
    <w:rsid w:val="00F54C19"/>
    <w:rsid w:val="00F76361"/>
    <w:rsid w:val="00F82AF1"/>
    <w:rsid w:val="00FA6A39"/>
    <w:rsid w:val="00FD258D"/>
    <w:rsid w:val="00FE4A94"/>
    <w:rsid w:val="00FF1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jc w:val="center"/>
      <w:outlineLvl w:val="5"/>
    </w:pPr>
    <w:rPr>
      <w:b/>
      <w:bCs/>
      <w:sz w:val="28"/>
      <w:u w:val="single"/>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Elephant" w:hAnsi="Elephant"/>
      <w:color w:val="FF6600"/>
      <w:sz w:val="32"/>
    </w:rPr>
  </w:style>
  <w:style w:type="paragraph" w:styleId="BodyText">
    <w:name w:val="Body Text"/>
    <w:basedOn w:val="Normal"/>
    <w:semiHidden/>
    <w:pPr>
      <w:jc w:val="both"/>
    </w:p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emiHidden/>
  </w:style>
  <w:style w:type="paragraph" w:styleId="Title">
    <w:name w:val="Title"/>
    <w:basedOn w:val="Normal"/>
    <w:qFormat/>
    <w:pPr>
      <w:jc w:val="center"/>
    </w:pPr>
    <w:rPr>
      <w:b/>
      <w:bCs/>
    </w:rPr>
  </w:style>
  <w:style w:type="paragraph" w:styleId="NormalWeb">
    <w:name w:val="Normal (Web)"/>
    <w:basedOn w:val="Normal"/>
    <w:semiHidden/>
    <w:pPr>
      <w:spacing w:before="100" w:beforeAutospacing="1" w:after="100" w:afterAutospacing="1"/>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F2457B"/>
    <w:rPr>
      <w:rFonts w:ascii="Tahoma" w:hAnsi="Tahoma"/>
      <w:sz w:val="16"/>
      <w:szCs w:val="16"/>
      <w:lang/>
    </w:rPr>
  </w:style>
  <w:style w:type="character" w:customStyle="1" w:styleId="BalloonTextChar">
    <w:name w:val="Balloon Text Char"/>
    <w:link w:val="BalloonText"/>
    <w:uiPriority w:val="99"/>
    <w:semiHidden/>
    <w:rsid w:val="00F2457B"/>
    <w:rPr>
      <w:rFonts w:ascii="Tahoma" w:hAnsi="Tahoma" w:cs="Tahoma"/>
      <w:sz w:val="16"/>
      <w:szCs w:val="16"/>
    </w:rPr>
  </w:style>
  <w:style w:type="character" w:customStyle="1" w:styleId="FooterChar">
    <w:name w:val="Footer Char"/>
    <w:link w:val="Footer"/>
    <w:uiPriority w:val="99"/>
    <w:rsid w:val="006D1DD6"/>
    <w:rPr>
      <w:sz w:val="24"/>
      <w:szCs w:val="24"/>
    </w:rPr>
  </w:style>
  <w:style w:type="paragraph" w:styleId="Header">
    <w:name w:val="header"/>
    <w:basedOn w:val="Normal"/>
    <w:link w:val="HeaderChar"/>
    <w:uiPriority w:val="99"/>
    <w:unhideWhenUsed/>
    <w:rsid w:val="006D1DD6"/>
    <w:pPr>
      <w:tabs>
        <w:tab w:val="center" w:pos="4680"/>
        <w:tab w:val="right" w:pos="9360"/>
      </w:tabs>
    </w:pPr>
    <w:rPr>
      <w:lang/>
    </w:rPr>
  </w:style>
  <w:style w:type="character" w:customStyle="1" w:styleId="HeaderChar">
    <w:name w:val="Header Char"/>
    <w:link w:val="Header"/>
    <w:uiPriority w:val="99"/>
    <w:rsid w:val="006D1DD6"/>
    <w:rPr>
      <w:sz w:val="24"/>
      <w:szCs w:val="24"/>
    </w:rPr>
  </w:style>
  <w:style w:type="paragraph" w:styleId="MediumList2-Accent4">
    <w:name w:val="Medium List 2 Accent 4"/>
    <w:basedOn w:val="Normal"/>
    <w:uiPriority w:val="34"/>
    <w:qFormat/>
    <w:rsid w:val="00AA127E"/>
    <w:pPr>
      <w:ind w:left="720"/>
    </w:pPr>
  </w:style>
  <w:style w:type="paragraph" w:styleId="ColorfulList-Accent2">
    <w:name w:val="Colorful List Accent 2"/>
    <w:link w:val="ColorfulList-Accent2Char"/>
    <w:uiPriority w:val="1"/>
    <w:qFormat/>
    <w:rsid w:val="00F54C19"/>
    <w:rPr>
      <w:rFonts w:ascii="Calibri" w:eastAsia="MS Mincho" w:hAnsi="Calibri" w:cs="Arial"/>
      <w:sz w:val="22"/>
      <w:szCs w:val="22"/>
      <w:lang w:eastAsia="ja-JP"/>
    </w:rPr>
  </w:style>
  <w:style w:type="character" w:customStyle="1" w:styleId="ColorfulList-Accent2Char">
    <w:name w:val="Colorful List - Accent 2 Char"/>
    <w:link w:val="ColorfulList-Accent2"/>
    <w:uiPriority w:val="1"/>
    <w:rsid w:val="00F54C19"/>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532D9C"/>
    <w:pPr>
      <w:spacing w:after="120" w:line="480" w:lineRule="auto"/>
    </w:pPr>
  </w:style>
  <w:style w:type="character" w:customStyle="1" w:styleId="BodyText2Char">
    <w:name w:val="Body Text 2 Char"/>
    <w:link w:val="BodyText2"/>
    <w:uiPriority w:val="99"/>
    <w:semiHidden/>
    <w:rsid w:val="00532D9C"/>
    <w:rPr>
      <w:sz w:val="24"/>
      <w:szCs w:val="24"/>
    </w:rPr>
  </w:style>
</w:styles>
</file>

<file path=word/webSettings.xml><?xml version="1.0" encoding="utf-8"?>
<w:webSettings xmlns:r="http://schemas.openxmlformats.org/officeDocument/2006/relationships" xmlns:w="http://schemas.openxmlformats.org/wordprocessingml/2006/main">
  <w:divs>
    <w:div w:id="636492635">
      <w:bodyDiv w:val="1"/>
      <w:marLeft w:val="0"/>
      <w:marRight w:val="0"/>
      <w:marTop w:val="0"/>
      <w:marBottom w:val="0"/>
      <w:divBdr>
        <w:top w:val="none" w:sz="0" w:space="0" w:color="auto"/>
        <w:left w:val="none" w:sz="0" w:space="0" w:color="auto"/>
        <w:bottom w:val="none" w:sz="0" w:space="0" w:color="auto"/>
        <w:right w:val="none" w:sz="0" w:space="0" w:color="auto"/>
      </w:divBdr>
      <w:divsChild>
        <w:div w:id="210654804">
          <w:marLeft w:val="0"/>
          <w:marRight w:val="0"/>
          <w:marTop w:val="0"/>
          <w:marBottom w:val="0"/>
          <w:divBdr>
            <w:top w:val="none" w:sz="0" w:space="0" w:color="auto"/>
            <w:left w:val="none" w:sz="0" w:space="0" w:color="auto"/>
            <w:bottom w:val="none" w:sz="0" w:space="0" w:color="auto"/>
            <w:right w:val="none" w:sz="0" w:space="0" w:color="auto"/>
          </w:divBdr>
        </w:div>
        <w:div w:id="1771655804">
          <w:marLeft w:val="0"/>
          <w:marRight w:val="0"/>
          <w:marTop w:val="0"/>
          <w:marBottom w:val="0"/>
          <w:divBdr>
            <w:top w:val="none" w:sz="0" w:space="0" w:color="auto"/>
            <w:left w:val="none" w:sz="0" w:space="0" w:color="auto"/>
            <w:bottom w:val="none" w:sz="0" w:space="0" w:color="auto"/>
            <w:right w:val="none" w:sz="0" w:space="0" w:color="auto"/>
          </w:divBdr>
        </w:div>
        <w:div w:id="201268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Report – October and November 2003</vt:lpstr>
    </vt:vector>
  </TitlesOfParts>
  <Company>Hewlett-Packard Company</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Report – October and November 2003</dc:title>
  <dc:creator>Tonia Labbe</dc:creator>
  <cp:lastModifiedBy>CWhite</cp:lastModifiedBy>
  <cp:revision>2</cp:revision>
  <cp:lastPrinted>2015-09-24T14:11:00Z</cp:lastPrinted>
  <dcterms:created xsi:type="dcterms:W3CDTF">2016-05-10T17:38:00Z</dcterms:created>
  <dcterms:modified xsi:type="dcterms:W3CDTF">2016-05-10T17:38:00Z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1866216063</vt:i4>
  </property>
  <property fmtid="{D5CDD505-2E9C-101B-9397-08002B2CF9AE}" pid="3" name="_EmailSubject">
    <vt:lpwstr>Thursday Board meeting</vt:lpwstr>
  </property>
  <property fmtid="{D5CDD505-2E9C-101B-9397-08002B2CF9AE}" pid="4" name="_AuthorEmail">
    <vt:lpwstr>frobertson@fr-resources.com</vt:lpwstr>
  </property>
  <property fmtid="{D5CDD505-2E9C-101B-9397-08002B2CF9AE}" pid="5" name="_AuthorEmailDisplayName">
    <vt:lpwstr>Fred Robertson</vt:lpwstr>
  </property>
  <property fmtid="{D5CDD505-2E9C-101B-9397-08002B2CF9AE}" pid="6" name="_ReviewingToolsShownOnce">
    <vt:lpwstr/>
  </property>
</Properties>
</file>